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9" w:rsidRPr="0074240B" w:rsidRDefault="00477169" w:rsidP="00477169">
      <w:pPr>
        <w:autoSpaceDE w:val="0"/>
        <w:autoSpaceDN w:val="0"/>
        <w:adjustRightInd w:val="0"/>
        <w:jc w:val="center"/>
        <w:rPr>
          <w:rFonts w:ascii="Garamond" w:hAnsi="Garamond" w:cs="Calibri-Bold"/>
          <w:b/>
          <w:bCs/>
          <w:color w:val="000000"/>
          <w:sz w:val="28"/>
          <w:szCs w:val="28"/>
        </w:rPr>
      </w:pPr>
      <w:bookmarkStart w:id="0" w:name="_GoBack"/>
      <w:bookmarkEnd w:id="0"/>
      <w:r w:rsidRPr="0074240B">
        <w:rPr>
          <w:rFonts w:ascii="Garamond" w:hAnsi="Garamond" w:cs="Calibri-Bold"/>
          <w:b/>
          <w:bCs/>
          <w:color w:val="000000"/>
          <w:sz w:val="28"/>
          <w:szCs w:val="28"/>
        </w:rPr>
        <w:t>Reguleringsplan for Soknes 1 og Kalvtrøa 6</w:t>
      </w:r>
    </w:p>
    <w:p w:rsidR="00477169" w:rsidRPr="0074240B" w:rsidRDefault="00477169" w:rsidP="00477169">
      <w:pPr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PlanID 5027</w:t>
      </w:r>
      <w:r w:rsidR="00687B58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2016019</w:t>
      </w:r>
    </w:p>
    <w:p w:rsidR="00477169" w:rsidRPr="0074240B" w:rsidRDefault="00477169" w:rsidP="00477169">
      <w:pPr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Reguleringsbestemmelser til detaljregulering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Kunngjøring av planoppstart:</w:t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A658BB" w:rsidRPr="0074240B">
        <w:rPr>
          <w:rFonts w:ascii="Garamond" w:hAnsi="Garamond" w:cs="Calibri"/>
          <w:color w:val="000000"/>
          <w:sz w:val="22"/>
          <w:szCs w:val="22"/>
        </w:rPr>
        <w:t>22.12.2016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Behan</w:t>
      </w:r>
      <w:r w:rsidR="0074240B">
        <w:rPr>
          <w:rFonts w:ascii="Garamond" w:hAnsi="Garamond" w:cs="Calibri"/>
          <w:color w:val="000000"/>
          <w:sz w:val="22"/>
          <w:szCs w:val="22"/>
        </w:rPr>
        <w:t>dling 1. gang i NPM-utvalg:</w:t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Pr="0074240B">
        <w:rPr>
          <w:rFonts w:ascii="Garamond" w:hAnsi="Garamond" w:cs="Calibri"/>
          <w:color w:val="000000"/>
          <w:sz w:val="22"/>
          <w:szCs w:val="22"/>
        </w:rPr>
        <w:t>28.08.2017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Offentlig ettersyn og høring:</w:t>
      </w:r>
      <w:r w:rsidRPr="0074240B">
        <w:rPr>
          <w:rFonts w:ascii="Garamond" w:hAnsi="Garamond" w:cs="Calibri"/>
          <w:color w:val="000000"/>
          <w:sz w:val="22"/>
          <w:szCs w:val="22"/>
        </w:rPr>
        <w:tab/>
      </w:r>
      <w:r w:rsidRP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A658BB" w:rsidRPr="0074240B">
        <w:rPr>
          <w:rFonts w:ascii="Garamond" w:hAnsi="Garamond" w:cs="Calibri"/>
          <w:color w:val="000000"/>
          <w:sz w:val="22"/>
          <w:szCs w:val="22"/>
        </w:rPr>
        <w:t>25.09.2017 – 07.11.2017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Behan</w:t>
      </w:r>
      <w:r w:rsidR="0074240B">
        <w:rPr>
          <w:rFonts w:ascii="Garamond" w:hAnsi="Garamond" w:cs="Calibri"/>
          <w:color w:val="000000"/>
          <w:sz w:val="22"/>
          <w:szCs w:val="22"/>
        </w:rPr>
        <w:t>dling 2. gang i NPM-utvalg:</w:t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="0074240B">
        <w:rPr>
          <w:rFonts w:ascii="Garamond" w:hAnsi="Garamond" w:cs="Calibri"/>
          <w:color w:val="000000"/>
          <w:sz w:val="22"/>
          <w:szCs w:val="22"/>
        </w:rPr>
        <w:tab/>
      </w:r>
      <w:r w:rsidRPr="0074240B">
        <w:rPr>
          <w:rFonts w:ascii="Garamond" w:hAnsi="Garamond" w:cs="Calibri"/>
          <w:color w:val="000000"/>
          <w:sz w:val="22"/>
          <w:szCs w:val="22"/>
        </w:rPr>
        <w:t>04.12.2017</w:t>
      </w:r>
    </w:p>
    <w:p w:rsidR="00477169" w:rsidRPr="0074240B" w:rsidRDefault="0074240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>Sluttbehandling i kommunestyret</w:t>
      </w:r>
      <w:r w:rsidR="00477169" w:rsidRPr="0074240B">
        <w:rPr>
          <w:rFonts w:ascii="Garamond" w:hAnsi="Garamond" w:cs="Calibri"/>
          <w:color w:val="000000"/>
          <w:sz w:val="22"/>
          <w:szCs w:val="22"/>
        </w:rPr>
        <w:t>:</w:t>
      </w:r>
      <w:r w:rsidR="00477169" w:rsidRPr="0074240B">
        <w:rPr>
          <w:rFonts w:ascii="Garamond" w:hAnsi="Garamond" w:cs="Calibri"/>
          <w:color w:val="000000"/>
          <w:sz w:val="22"/>
          <w:szCs w:val="22"/>
        </w:rPr>
        <w:tab/>
      </w:r>
      <w:r>
        <w:rPr>
          <w:rFonts w:ascii="Garamond" w:hAnsi="Garamond" w:cs="Calibri"/>
          <w:color w:val="000000"/>
          <w:sz w:val="22"/>
          <w:szCs w:val="22"/>
        </w:rPr>
        <w:tab/>
      </w:r>
      <w:r>
        <w:rPr>
          <w:rFonts w:ascii="Garamond" w:hAnsi="Garamond" w:cs="Calibri"/>
          <w:color w:val="000000"/>
          <w:sz w:val="22"/>
          <w:szCs w:val="22"/>
        </w:rPr>
        <w:tab/>
      </w:r>
      <w:r w:rsidR="00477169" w:rsidRPr="0074240B">
        <w:rPr>
          <w:rFonts w:ascii="Garamond" w:hAnsi="Garamond" w:cs="Calibri"/>
          <w:color w:val="000000"/>
          <w:sz w:val="22"/>
          <w:szCs w:val="22"/>
        </w:rPr>
        <w:t>22.02.2018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Bestemmelsene er sammen med arealplankart juridisk bindende for framtidig arealbruk.</w:t>
      </w:r>
    </w:p>
    <w:p w:rsidR="00477169" w:rsidRPr="0074240B" w:rsidRDefault="00477169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</w:p>
    <w:p w:rsidR="00A658BB" w:rsidRPr="0074240B" w:rsidRDefault="00A658BB" w:rsidP="00A658BB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Avgrensning</w:t>
      </w:r>
    </w:p>
    <w:p w:rsidR="00A658BB" w:rsidRPr="0074240B" w:rsidRDefault="00A658BB" w:rsidP="00A658BB">
      <w:pPr>
        <w:autoSpaceDE w:val="0"/>
        <w:autoSpaceDN w:val="0"/>
        <w:adjustRightInd w:val="0"/>
        <w:ind w:left="360"/>
        <w:rPr>
          <w:rFonts w:ascii="Garamond" w:hAnsi="Garamond" w:cs="Calibri-Bold"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Cs/>
          <w:color w:val="000000"/>
          <w:sz w:val="22"/>
          <w:szCs w:val="22"/>
        </w:rPr>
        <w:t xml:space="preserve">Det regulerte området er vist med reguleringsgrense på plankart merket Multiconsult, datert 24.04.2017, sist endret 04.12.2017. </w:t>
      </w:r>
    </w:p>
    <w:p w:rsidR="00A658BB" w:rsidRPr="0074240B" w:rsidRDefault="00A658BB" w:rsidP="00A658BB">
      <w:pPr>
        <w:autoSpaceDE w:val="0"/>
        <w:autoSpaceDN w:val="0"/>
        <w:adjustRightInd w:val="0"/>
        <w:rPr>
          <w:rFonts w:ascii="Garamond" w:hAnsi="Garamond" w:cs="Calibri-Bold"/>
          <w:bCs/>
          <w:color w:val="000000"/>
          <w:sz w:val="22"/>
          <w:szCs w:val="22"/>
        </w:rPr>
      </w:pPr>
    </w:p>
    <w:p w:rsidR="00477169" w:rsidRPr="0074240B" w:rsidRDefault="00477169" w:rsidP="00A658BB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Calibri-Bold"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Formålet med reguleringsplanen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Området reguleres til:</w:t>
      </w:r>
    </w:p>
    <w:p w:rsidR="00477169" w:rsidRPr="0074240B" w:rsidRDefault="00477169" w:rsidP="00A658BB">
      <w:pPr>
        <w:autoSpaceDE w:val="0"/>
        <w:autoSpaceDN w:val="0"/>
        <w:adjustRightInd w:val="0"/>
        <w:ind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Bebyggelse og anlegg: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Boligbebyggelse – blokkbebyggelse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(1113)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Renovasjonsanlegg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(1550)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Lekeplass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>(1610)</w:t>
      </w:r>
    </w:p>
    <w:p w:rsidR="00477169" w:rsidRPr="0074240B" w:rsidRDefault="00477169" w:rsidP="00A658BB">
      <w:pPr>
        <w:autoSpaceDE w:val="0"/>
        <w:autoSpaceDN w:val="0"/>
        <w:adjustRightInd w:val="0"/>
        <w:ind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Samferdselsanlegg og teknisk infrastruktur: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Veg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(2010)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Gatetun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(2014)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Gang-/sykkelveg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(2015)</w:t>
      </w:r>
    </w:p>
    <w:p w:rsidR="00477169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Annen veggrunn – grøntareal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(2019)</w:t>
      </w:r>
    </w:p>
    <w:p w:rsidR="00477169" w:rsidRPr="0074240B" w:rsidRDefault="00477169" w:rsidP="00A658BB">
      <w:pPr>
        <w:autoSpaceDE w:val="0"/>
        <w:autoSpaceDN w:val="0"/>
        <w:adjustRightInd w:val="0"/>
        <w:ind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Grønnstruktur:</w:t>
      </w:r>
    </w:p>
    <w:p w:rsidR="00A658BB" w:rsidRPr="0074240B" w:rsidRDefault="00477169" w:rsidP="00A658BB">
      <w:pPr>
        <w:autoSpaceDE w:val="0"/>
        <w:autoSpaceDN w:val="0"/>
        <w:adjustRightInd w:val="0"/>
        <w:ind w:left="708" w:firstLine="708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SymbolMT"/>
          <w:color w:val="000000"/>
          <w:sz w:val="22"/>
          <w:szCs w:val="22"/>
        </w:rPr>
        <w:t xml:space="preserve">• </w:t>
      </w:r>
      <w:r w:rsidRPr="0074240B">
        <w:rPr>
          <w:rFonts w:ascii="Garamond" w:hAnsi="Garamond" w:cs="Calibri"/>
          <w:color w:val="000000"/>
          <w:sz w:val="22"/>
          <w:szCs w:val="22"/>
        </w:rPr>
        <w:t>Grønnstruktur</w:t>
      </w:r>
      <w:r w:rsidR="009C6C43" w:rsidRPr="0074240B">
        <w:rPr>
          <w:rFonts w:ascii="Garamond" w:hAnsi="Garamond" w:cs="Calibri"/>
          <w:color w:val="000000"/>
          <w:sz w:val="22"/>
          <w:szCs w:val="22"/>
        </w:rPr>
        <w:t xml:space="preserve"> (3001)</w:t>
      </w:r>
    </w:p>
    <w:p w:rsidR="00A658BB" w:rsidRPr="0074240B" w:rsidRDefault="00A658BB" w:rsidP="00A658BB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477169" w:rsidP="00A658BB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Bestemmelser til arealformål bebyggelse og anlegg (pbl § 12-5 nr. 1)</w:t>
      </w: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 Bruk av arealer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BBB1 og BBB2 skal brukes til blokkbebyggelse.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BRE skal brukes til renovasjonsanlegg.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BLK skal brukes til lekeplass.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.2 Bebyggelsens plassering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Bebyggelse over bakken skal plasseres innenfor byggegrenser som angitt på plankartet.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Mindre frittliggende bygning som ikke skal brukes til beboelse på inntil 50 m</w:t>
      </w:r>
      <w:r w:rsidRPr="0074240B">
        <w:rPr>
          <w:rFonts w:ascii="Garamond" w:hAnsi="Garamond" w:cs="Calibri"/>
          <w:color w:val="000000"/>
          <w:sz w:val="22"/>
          <w:szCs w:val="22"/>
          <w:vertAlign w:val="superscript"/>
        </w:rPr>
        <w:t>2</w:t>
      </w:r>
      <w:r w:rsidRPr="0074240B">
        <w:rPr>
          <w:rFonts w:ascii="Garamond" w:hAnsi="Garamond" w:cs="Calibri"/>
          <w:color w:val="000000"/>
          <w:sz w:val="14"/>
          <w:szCs w:val="14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BYA og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byggehøyde inntil 5,5 meter, terrasser, trapper kan plasseres inntil 1,0 meter fra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formålsgrenser.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Gjerde, mur med høyde inntil 2 meter, rampe til parkeringskjeller, parkeringsplasser og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atkomstveg kan plasseres helt inntil formålsgrenser.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.3 Bebyggelsens høyde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BBB1, Soknes 1: bebyggelsens høyde skal ikke overstige kotehøyde 104.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BBB2, Kalvtrøa 6: bebyggelsens høyde skal ikke overstige kotehøyde 98.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Det tillates oppbygg for tekniske installasjoner på tak når disse er utformet helhetlig med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bebyggelsen for øvrig. Oppbygg tillates maksimalt 1,5 meter over regulert byggehøyde.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Maksimum 15 % av takflatene kan benyttes til tekniske installasjoner.</w:t>
      </w:r>
    </w:p>
    <w:p w:rsidR="009C6C43" w:rsidRPr="0074240B" w:rsidRDefault="009C6C43" w:rsidP="0074240B">
      <w:pPr>
        <w:autoSpaceDE w:val="0"/>
        <w:autoSpaceDN w:val="0"/>
        <w:adjustRightInd w:val="0"/>
        <w:rPr>
          <w:rFonts w:ascii="Garamond" w:hAnsi="Garamond" w:cs="Calibri"/>
          <w:b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.4 Utforming av bebyggelsen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Ny bebyggelse skal gis en god arkitektonisk utforming, materialbruk og fargesetting som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ivaretar hensynet til tilgrensende bebyggelsen og viktige landskapskvaliteter.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.5 Utnytting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 område BBB1 skal det etableres minimum 15 og maksimum 20 boenheter.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Maksimal grad av utnytting skal ikke overstige % BYA = 60 %. Krav om minimum uteareal er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lastRenderedPageBreak/>
        <w:t>overstyrende for BYA.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 område BBB2 skal det etableres minimum 4 og maksimum 6 boenheter.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Maksimal grad av utnytting skal ikke overstige % BYA = 45 %. Krav om minimum uteareal er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overstyrende for BYA.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.6 Tilgjengelighet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Minimum 30 % av boenhetene skal ha alle bofunksjoner på inngangsplanet.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.7 Krav til universell utforming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Ved opparbeidelse av felles uteareal, adkomster til parkeringsplasser, møteplasser og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renovasjonsanlegg skal det legges vekt på universell utforming, med framkommelighet og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orienterbarhet. I opparbeidet uteanlegg skal det ved nyplanting av anlegg tas hensyn til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allergivennlige planter.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.8 Parkering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Det skal etableres minimum 2 parkeringsplasser for bil og minimum 2 parkeringsplasser for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sykkel pr. boenhet.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hver tomt/hvert område (BBB1 og BBB2) skal minst 5 % av parkeringsplassene for bil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tilrettelegges for mennesker med nedsatt bevegelsesevne.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Minimum 20 % av parkeringsplassene innenfor hver tomt/hvert område, skal tilrettelegges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for lading av ladbare kjøretøy.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.9 Uteoppholdsareal og lekeplass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Det skal etableres minimum 50 m² uteoppholdsareal pr. boenhet, av dette minimum 50 % i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fellesarealer. Innenfor områdene BLK og BBB2 skal minst 50 m² av uteoppholdsareal være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spesielt tilrettelagt for lek for barn under 6 år.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.10 Renovasjon</w:t>
      </w:r>
    </w:p>
    <w:p w:rsidR="00477169" w:rsidRPr="0074240B" w:rsidRDefault="00477169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område BRE skal det etableres renovasjonsløsning med nedgravde containere.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område BBB2 skal det sentralt ved innkjøringen til området etableres areal med fast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dekke for felles beholdere for avfall.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A658BB" w:rsidP="00A658BB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3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.11 Vann, avløp og overvann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Ny bebyggelse skal kobles til offentlig ledningsnett for vann-, avløp og overvann i vegen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Kalvtrøa.</w:t>
      </w:r>
    </w:p>
    <w:p w:rsidR="00A658BB" w:rsidRPr="0074240B" w:rsidRDefault="00A658BB" w:rsidP="00477169">
      <w:pPr>
        <w:autoSpaceDE w:val="0"/>
        <w:autoSpaceDN w:val="0"/>
        <w:adjustRightInd w:val="0"/>
        <w:rPr>
          <w:rFonts w:ascii="Garamond" w:hAnsi="Garamond" w:cs="Calibri"/>
          <w:color w:val="A7A7A7"/>
          <w:szCs w:val="20"/>
        </w:rPr>
      </w:pPr>
    </w:p>
    <w:p w:rsidR="00EB5FCC" w:rsidRPr="0074240B" w:rsidRDefault="00477169" w:rsidP="000E7696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 xml:space="preserve"> Bestemmelser til arealformål samferdselsanlegg og teknisk infrastruktur (pbl § 12-5</w:t>
      </w:r>
      <w:r w:rsidR="00A658BB"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nr. 2)</w:t>
      </w:r>
    </w:p>
    <w:p w:rsidR="00EB5FCC" w:rsidRPr="0074240B" w:rsidRDefault="00477169" w:rsidP="00EB5FCC">
      <w:pPr>
        <w:numPr>
          <w:ilvl w:val="1"/>
          <w:numId w:val="4"/>
        </w:numPr>
        <w:autoSpaceDE w:val="0"/>
        <w:autoSpaceDN w:val="0"/>
        <w:adjustRightInd w:val="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Veg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o_SV1 og o_SV2 skal nyttes til vegareal.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SV3 skal nyttes til innkjøring til parkeringskjeller.</w:t>
      </w:r>
    </w:p>
    <w:p w:rsidR="000E7696" w:rsidRPr="0074240B" w:rsidRDefault="000E7696" w:rsidP="000E7696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0E7696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4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.2 Gang-/sykkelveg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o_SGS1 skal nyttes til gang- og sykkelveg.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Det skal etableres et skille mellom o_SV1 (veg) og o_GSV1 (gang-/sykkelveg).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4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.3 Gatetun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SGT er atkomstsoner til boliger. Arealet tillates opparbeidet til uteopphold, grøntareal, til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kjøring for varelevering, renovasjon o.l og med inntil 2 parkeringsplasser. Det skal være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gjennomkjøring for renovasjonsbil med fri kjørebanebredde på minimum 3,5 meter og fri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høyde på 4,0 meter, mellom avkjørselspilene som fremgår av reguleringsplankartet.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4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.4 Annen veggrunn - grøntareal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Områdene o_SVG 1-2 skal istandsettes og tilsåes etter inngrep.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</w:p>
    <w:p w:rsidR="00477169" w:rsidRPr="0074240B" w:rsidRDefault="00477169" w:rsidP="00EB5FCC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 xml:space="preserve"> Bestemmelser til arealformål grønnstruktur (pbl § 12-5 nr. 3)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Grønnstrukturen skal i størst mulig grad være uberørt, men vanlig skogskjøtsel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tillates. Enkel tilrettelegging som fremmer allmenn ferdsel og øker friluftslivet er tillatt.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 xml:space="preserve">6. </w:t>
      </w:r>
      <w:r w:rsidR="00477169"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Bestemmelser til hensynssoner</w:t>
      </w: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6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 Sikringssone frisikt (H140) (pbl § 11-8a)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frisiktsone i vegkryss må en minst oppfylle kravet om at det skal være frisikt i en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høyde av 0,5 meter over toppdekke på tilstøtende veg. Arealet innenfor frisiktsonen må ikke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nyttes slik at sikt blir hindret på noe tidspunkt.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6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.2 Ras og skredfare (H310) (pbl § 11-8a)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For å ivareta sikkerhet mot skred tillates ikke flatehogst med flater større enn 0,5 dekar,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bygging av skogsveg e.l. Sikringstiltak mot ras og skred tillates. Vanlig skogskjøtsel som uttak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av enkelttrær og andre tiltak for fornying, tillates. Dette skal foregå på mest mulig skånsom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måte. I tilfelle skogen skulle forsvinne, ved brann eller annen uforutsett hendelse, skal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sikringstiltak vurderes og iverksettes umiddelbart.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 xml:space="preserve">7. </w:t>
      </w:r>
      <w:r w:rsidR="00477169"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Bestemmelser til bestemmelsesområder</w:t>
      </w: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7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 #1 og #2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bestemmelsesområdene #1 og #2 tillates det bygd kjeller for parkering, boder o.l.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-Bold"/>
          <w:b/>
          <w:bCs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-Bold"/>
          <w:b/>
          <w:bCs/>
          <w:color w:val="000000"/>
          <w:sz w:val="22"/>
          <w:szCs w:val="22"/>
        </w:rPr>
      </w:pPr>
      <w:r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-Bold"/>
          <w:b/>
          <w:bCs/>
          <w:color w:val="000000"/>
          <w:sz w:val="22"/>
          <w:szCs w:val="22"/>
        </w:rPr>
        <w:t>. Rekkefølgebestemmelser og vilkår for gjennomføring</w:t>
      </w: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.1 Utomhusplan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Før igangsettingstillatelse gis skal det foreligge godkjent utomhusplan.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.2 Samtidig ferdigstillelse av uteareal og lekeplass</w:t>
      </w:r>
    </w:p>
    <w:p w:rsidR="00477169" w:rsidRPr="0074240B" w:rsidRDefault="00477169" w:rsidP="00EB5FCC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Utomhusareal og lekeplass skal være opparbeidet i samsvar med godkjent utomhusplan for</w:t>
      </w:r>
      <w:r w:rsidR="00EB5FCC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de ulike byggetrinnene før det gis midlertidig brukstillatelse og ferdigattest for nye bygg.</w:t>
      </w:r>
    </w:p>
    <w:p w:rsidR="00EB5FCC" w:rsidRPr="0074240B" w:rsidRDefault="00EB5FCC" w:rsidP="009C6C43">
      <w:pPr>
        <w:autoSpaceDE w:val="0"/>
        <w:autoSpaceDN w:val="0"/>
        <w:adjustRightInd w:val="0"/>
        <w:rPr>
          <w:rFonts w:ascii="Garamond" w:hAnsi="Garamond" w:cs="Calibri"/>
          <w:b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.3 Gang og sykkelveg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Gang- og sykkelveg må utarbeides før det gis brukstillatelse eller ferdigattst for nye bygg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innenfor BBB1.</w:t>
      </w:r>
    </w:p>
    <w:p w:rsidR="009C6C43" w:rsidRPr="0074240B" w:rsidRDefault="009C6C43" w:rsidP="0074240B">
      <w:pPr>
        <w:autoSpaceDE w:val="0"/>
        <w:autoSpaceDN w:val="0"/>
        <w:adjustRightInd w:val="0"/>
        <w:rPr>
          <w:rFonts w:ascii="Garamond" w:hAnsi="Garamond" w:cs="Calibri"/>
          <w:b/>
          <w:color w:val="000000"/>
          <w:sz w:val="22"/>
          <w:szCs w:val="22"/>
        </w:rPr>
      </w:pPr>
    </w:p>
    <w:p w:rsidR="00477169" w:rsidRPr="0074240B" w:rsidRDefault="00EB5FCC" w:rsidP="000E7696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.4 Vann og avløpsanlegg</w:t>
      </w:r>
    </w:p>
    <w:p w:rsidR="00477169" w:rsidRPr="0074240B" w:rsidRDefault="00477169" w:rsidP="000E7696">
      <w:pPr>
        <w:autoSpaceDE w:val="0"/>
        <w:autoSpaceDN w:val="0"/>
        <w:adjustRightInd w:val="0"/>
        <w:ind w:left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Vann- og avløpsanlegg, inklusive renseanlegg og utslipp, skal være opparbeidet før det gis</w:t>
      </w:r>
      <w:r w:rsidR="000E7696" w:rsidRPr="0074240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74240B">
        <w:rPr>
          <w:rFonts w:ascii="Garamond" w:hAnsi="Garamond" w:cs="Calibri"/>
          <w:color w:val="000000"/>
          <w:sz w:val="22"/>
          <w:szCs w:val="22"/>
        </w:rPr>
        <w:t>ferdigattest for boliger.</w:t>
      </w:r>
    </w:p>
    <w:p w:rsidR="00EB5FCC" w:rsidRPr="0074240B" w:rsidRDefault="00EB5FCC" w:rsidP="00477169">
      <w:pPr>
        <w:autoSpaceDE w:val="0"/>
        <w:autoSpaceDN w:val="0"/>
        <w:adjustRightInd w:val="0"/>
        <w:rPr>
          <w:rFonts w:ascii="Garamond" w:hAnsi="Garamond" w:cs="Calibri"/>
          <w:color w:val="000000"/>
          <w:sz w:val="22"/>
          <w:szCs w:val="22"/>
        </w:rPr>
      </w:pPr>
    </w:p>
    <w:p w:rsidR="00477169" w:rsidRPr="0074240B" w:rsidRDefault="00EB5FCC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b/>
          <w:color w:val="000000"/>
          <w:sz w:val="22"/>
          <w:szCs w:val="22"/>
        </w:rPr>
      </w:pPr>
      <w:r w:rsidRPr="0074240B">
        <w:rPr>
          <w:rFonts w:ascii="Garamond" w:hAnsi="Garamond" w:cs="Calibri"/>
          <w:b/>
          <w:color w:val="000000"/>
          <w:sz w:val="22"/>
          <w:szCs w:val="22"/>
        </w:rPr>
        <w:t>8</w:t>
      </w:r>
      <w:r w:rsidR="00477169" w:rsidRPr="0074240B">
        <w:rPr>
          <w:rFonts w:ascii="Garamond" w:hAnsi="Garamond" w:cs="Calibri"/>
          <w:b/>
          <w:color w:val="000000"/>
          <w:sz w:val="22"/>
          <w:szCs w:val="22"/>
        </w:rPr>
        <w:t>.5 Krav til anleggsfasen</w:t>
      </w:r>
    </w:p>
    <w:p w:rsidR="00477169" w:rsidRPr="0074240B" w:rsidRDefault="00477169" w:rsidP="00EB5FCC">
      <w:pPr>
        <w:autoSpaceDE w:val="0"/>
        <w:autoSpaceDN w:val="0"/>
        <w:adjustRightInd w:val="0"/>
        <w:ind w:firstLine="360"/>
        <w:rPr>
          <w:rFonts w:ascii="Garamond" w:hAnsi="Garamond" w:cs="Calibri"/>
          <w:color w:val="000000"/>
          <w:sz w:val="22"/>
          <w:szCs w:val="22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Miljøverndepartementets retningslinjer for behandling av luftkvalitet og støy i</w:t>
      </w:r>
    </w:p>
    <w:p w:rsidR="00D13C46" w:rsidRPr="0074240B" w:rsidRDefault="00477169" w:rsidP="00EB5FCC">
      <w:pPr>
        <w:ind w:firstLine="360"/>
        <w:rPr>
          <w:rFonts w:ascii="Garamond" w:hAnsi="Garamond"/>
          <w:sz w:val="24"/>
        </w:rPr>
      </w:pPr>
      <w:r w:rsidRPr="0074240B">
        <w:rPr>
          <w:rFonts w:ascii="Garamond" w:hAnsi="Garamond" w:cs="Calibri"/>
          <w:color w:val="000000"/>
          <w:sz w:val="22"/>
          <w:szCs w:val="22"/>
        </w:rPr>
        <w:t>arealplanleggingen, T-1520 og T-1442/2016, legges til grunn for miljøforhold i anleggsfasen.</w:t>
      </w:r>
    </w:p>
    <w:sectPr w:rsidR="00D13C46" w:rsidRPr="0074240B" w:rsidSect="0035543E">
      <w:headerReference w:type="even" r:id="rId8"/>
      <w:headerReference w:type="default" r:id="rId9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BF" w:rsidRDefault="005000BF" w:rsidP="00D13C46">
      <w:r>
        <w:separator/>
      </w:r>
    </w:p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</w:endnote>
  <w:endnote w:type="continuationSeparator" w:id="0">
    <w:p w:rsidR="005000BF" w:rsidRDefault="005000BF" w:rsidP="00D13C46">
      <w:r>
        <w:continuationSeparator/>
      </w:r>
    </w:p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BF" w:rsidRDefault="005000BF" w:rsidP="00D13C46">
      <w:r>
        <w:separator/>
      </w:r>
    </w:p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</w:footnote>
  <w:footnote w:type="continuationSeparator" w:id="0">
    <w:p w:rsidR="005000BF" w:rsidRDefault="005000BF" w:rsidP="00D13C46">
      <w:r>
        <w:continuationSeparator/>
      </w:r>
    </w:p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  <w:p w:rsidR="005000BF" w:rsidRDefault="005000BF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18" w:rsidRDefault="00566C18" w:rsidP="00D13C46"/>
  <w:p w:rsidR="00566C18" w:rsidRDefault="00566C18" w:rsidP="00D13C46"/>
  <w:p w:rsidR="00566C18" w:rsidRDefault="00566C18" w:rsidP="00D13C46"/>
  <w:p w:rsidR="00566C18" w:rsidRDefault="00566C18" w:rsidP="00D13C46"/>
  <w:p w:rsidR="00566C18" w:rsidRDefault="00566C18" w:rsidP="00D13C46"/>
  <w:p w:rsidR="00566C18" w:rsidRDefault="00566C18" w:rsidP="00D13C46"/>
  <w:p w:rsidR="00566C18" w:rsidRDefault="00566C18" w:rsidP="00D13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665"/>
      <w:gridCol w:w="4665"/>
    </w:tblGrid>
    <w:tr w:rsidR="00566C18" w:rsidTr="005000BF">
      <w:trPr>
        <w:trHeight w:hRule="exact" w:val="1701"/>
      </w:trPr>
      <w:tc>
        <w:tcPr>
          <w:tcW w:w="4665" w:type="dxa"/>
          <w:shd w:val="clear" w:color="auto" w:fill="auto"/>
        </w:tcPr>
        <w:p w:rsidR="00566C18" w:rsidRPr="00C24AC5" w:rsidRDefault="00566C18" w:rsidP="00C24AC5">
          <w:pPr>
            <w:pStyle w:val="Topptekst"/>
          </w:pPr>
        </w:p>
      </w:tc>
      <w:tc>
        <w:tcPr>
          <w:tcW w:w="4665" w:type="dxa"/>
          <w:shd w:val="clear" w:color="auto" w:fill="auto"/>
        </w:tcPr>
        <w:p w:rsidR="00566C18" w:rsidRPr="00485210" w:rsidRDefault="00566C18" w:rsidP="005000BF">
          <w:pPr>
            <w:pStyle w:val="Topptekst"/>
            <w:jc w:val="right"/>
          </w:pPr>
        </w:p>
      </w:tc>
    </w:tr>
  </w:tbl>
  <w:p w:rsidR="00566C18" w:rsidRDefault="00566C18" w:rsidP="007564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A713C8"/>
    <w:multiLevelType w:val="multilevel"/>
    <w:tmpl w:val="37E82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BF"/>
    <w:rsid w:val="00054C49"/>
    <w:rsid w:val="000566AF"/>
    <w:rsid w:val="0007438D"/>
    <w:rsid w:val="000D0FDD"/>
    <w:rsid w:val="000D45FE"/>
    <w:rsid w:val="000E7696"/>
    <w:rsid w:val="000F393F"/>
    <w:rsid w:val="00104A04"/>
    <w:rsid w:val="001622CC"/>
    <w:rsid w:val="00170A33"/>
    <w:rsid w:val="00195EC8"/>
    <w:rsid w:val="00196F59"/>
    <w:rsid w:val="001B2851"/>
    <w:rsid w:val="001D4A71"/>
    <w:rsid w:val="001F15CB"/>
    <w:rsid w:val="001F1B9D"/>
    <w:rsid w:val="0023457A"/>
    <w:rsid w:val="0024769D"/>
    <w:rsid w:val="00250B12"/>
    <w:rsid w:val="002562A1"/>
    <w:rsid w:val="002720A7"/>
    <w:rsid w:val="0029132D"/>
    <w:rsid w:val="0029210E"/>
    <w:rsid w:val="002A4097"/>
    <w:rsid w:val="002C6652"/>
    <w:rsid w:val="002F1C98"/>
    <w:rsid w:val="0030373B"/>
    <w:rsid w:val="00305602"/>
    <w:rsid w:val="00305AD9"/>
    <w:rsid w:val="0035543E"/>
    <w:rsid w:val="003913C4"/>
    <w:rsid w:val="003927D9"/>
    <w:rsid w:val="003A23AB"/>
    <w:rsid w:val="003D1E56"/>
    <w:rsid w:val="00414A86"/>
    <w:rsid w:val="00420851"/>
    <w:rsid w:val="00430408"/>
    <w:rsid w:val="004345A7"/>
    <w:rsid w:val="004409EE"/>
    <w:rsid w:val="00450A78"/>
    <w:rsid w:val="00477169"/>
    <w:rsid w:val="00477343"/>
    <w:rsid w:val="00480052"/>
    <w:rsid w:val="00485210"/>
    <w:rsid w:val="004B085C"/>
    <w:rsid w:val="004C49F3"/>
    <w:rsid w:val="005000BF"/>
    <w:rsid w:val="00507BA5"/>
    <w:rsid w:val="00514328"/>
    <w:rsid w:val="00534E22"/>
    <w:rsid w:val="00540A73"/>
    <w:rsid w:val="00566C18"/>
    <w:rsid w:val="005D4510"/>
    <w:rsid w:val="005D59DA"/>
    <w:rsid w:val="006863C5"/>
    <w:rsid w:val="00687B58"/>
    <w:rsid w:val="006C7826"/>
    <w:rsid w:val="00710091"/>
    <w:rsid w:val="0074240B"/>
    <w:rsid w:val="00756468"/>
    <w:rsid w:val="00760F53"/>
    <w:rsid w:val="00765ABC"/>
    <w:rsid w:val="0079179C"/>
    <w:rsid w:val="007976A9"/>
    <w:rsid w:val="007C39F7"/>
    <w:rsid w:val="007F0662"/>
    <w:rsid w:val="007F715F"/>
    <w:rsid w:val="00825D0D"/>
    <w:rsid w:val="00846D4B"/>
    <w:rsid w:val="00854646"/>
    <w:rsid w:val="00860321"/>
    <w:rsid w:val="00866FE3"/>
    <w:rsid w:val="008777D8"/>
    <w:rsid w:val="0089688C"/>
    <w:rsid w:val="008A06D2"/>
    <w:rsid w:val="008C07CA"/>
    <w:rsid w:val="009303F5"/>
    <w:rsid w:val="00936B86"/>
    <w:rsid w:val="009508E4"/>
    <w:rsid w:val="009522C5"/>
    <w:rsid w:val="0096361C"/>
    <w:rsid w:val="009A6007"/>
    <w:rsid w:val="009B1572"/>
    <w:rsid w:val="009B28F2"/>
    <w:rsid w:val="009C1F5A"/>
    <w:rsid w:val="009C6C43"/>
    <w:rsid w:val="009C6FA0"/>
    <w:rsid w:val="009E0757"/>
    <w:rsid w:val="009F1D1D"/>
    <w:rsid w:val="00A02DF6"/>
    <w:rsid w:val="00A059D2"/>
    <w:rsid w:val="00A217B4"/>
    <w:rsid w:val="00A266C6"/>
    <w:rsid w:val="00A658BB"/>
    <w:rsid w:val="00AB5B41"/>
    <w:rsid w:val="00AC29DA"/>
    <w:rsid w:val="00AD133A"/>
    <w:rsid w:val="00B03841"/>
    <w:rsid w:val="00B37A60"/>
    <w:rsid w:val="00B40816"/>
    <w:rsid w:val="00B45525"/>
    <w:rsid w:val="00B50710"/>
    <w:rsid w:val="00B72411"/>
    <w:rsid w:val="00BB6554"/>
    <w:rsid w:val="00BE7A22"/>
    <w:rsid w:val="00BF021F"/>
    <w:rsid w:val="00C12AF2"/>
    <w:rsid w:val="00C1529F"/>
    <w:rsid w:val="00C23953"/>
    <w:rsid w:val="00C24AC5"/>
    <w:rsid w:val="00C3188C"/>
    <w:rsid w:val="00C35584"/>
    <w:rsid w:val="00C45570"/>
    <w:rsid w:val="00C52557"/>
    <w:rsid w:val="00C97236"/>
    <w:rsid w:val="00CB6098"/>
    <w:rsid w:val="00CB73D9"/>
    <w:rsid w:val="00CD7BF7"/>
    <w:rsid w:val="00CE140C"/>
    <w:rsid w:val="00CE70E6"/>
    <w:rsid w:val="00D13C46"/>
    <w:rsid w:val="00D44A28"/>
    <w:rsid w:val="00D46DEF"/>
    <w:rsid w:val="00D76DAA"/>
    <w:rsid w:val="00D80168"/>
    <w:rsid w:val="00D90D9B"/>
    <w:rsid w:val="00D91E88"/>
    <w:rsid w:val="00DA3776"/>
    <w:rsid w:val="00DE0A91"/>
    <w:rsid w:val="00E03170"/>
    <w:rsid w:val="00E26A45"/>
    <w:rsid w:val="00E35338"/>
    <w:rsid w:val="00E77939"/>
    <w:rsid w:val="00E87180"/>
    <w:rsid w:val="00E87647"/>
    <w:rsid w:val="00EA0643"/>
    <w:rsid w:val="00EA17CF"/>
    <w:rsid w:val="00EA57AF"/>
    <w:rsid w:val="00EB08ED"/>
    <w:rsid w:val="00EB5FCC"/>
    <w:rsid w:val="00EE3E80"/>
    <w:rsid w:val="00EE753A"/>
    <w:rsid w:val="00EE7C1D"/>
    <w:rsid w:val="00F3147B"/>
    <w:rsid w:val="00F4060E"/>
    <w:rsid w:val="00F469D7"/>
    <w:rsid w:val="00F46A07"/>
    <w:rsid w:val="00F563BB"/>
    <w:rsid w:val="00F652C1"/>
    <w:rsid w:val="00FB6576"/>
    <w:rsid w:val="00FC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68"/>
    <w:rPr>
      <w:rFonts w:ascii="Tahoma" w:hAnsi="Tahoma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68"/>
    <w:rPr>
      <w:rFonts w:ascii="Tahoma" w:hAnsi="Tahoma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Virksomhetens navn</vt:lpstr>
    </vt:vector>
  </TitlesOfParts>
  <Company>Gecko AS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Monica Broen</dc:creator>
  <cp:lastModifiedBy>Monica Broen</cp:lastModifiedBy>
  <cp:revision>2</cp:revision>
  <dcterms:created xsi:type="dcterms:W3CDTF">2018-03-09T07:44:00Z</dcterms:created>
  <dcterms:modified xsi:type="dcterms:W3CDTF">2018-03-09T07:44:00Z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https://ephorte.mgk.no/ephorte/shared/aspx/Default/CheckInDocForm.aspx</vt:lpwstr>
  </property>
  <property fmtid="{D5CDD505-2E9C-101B-9397-08002B2CF9AE}" pid="4" name="DokType">
    <vt:lpwstr/>
  </property>
  <property fmtid="{D5CDD505-2E9C-101B-9397-08002B2CF9AE}" pid="5" name="DokID">
    <vt:i4>258491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https%3a%2f%2fephorte.mgk.no%2fephorte%2fshared%2faspx%2fdefault%2fdetails.aspx%3ff%3dViewJP%26JP_ID%3d161552%26SubElGroup%3d55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%5c%5csr-fil01%5cHjemmeDir%24%5clijo%5cephorte%5c296976.DOCX</vt:lpwstr>
  </property>
  <property fmtid="{D5CDD505-2E9C-101B-9397-08002B2CF9AE}" pid="12" name="LinkId">
    <vt:i4>161552</vt:i4>
  </property>
</Properties>
</file>